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2846D38C" w:rsidR="00681013" w:rsidRPr="0052548E" w:rsidRDefault="00402D17"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#101</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A90D79" w:rsidRPr="00A90D79">
        <w:rPr>
          <w:rFonts w:ascii="Arial" w:hAnsi="Arial" w:cs="Arial"/>
          <w:b/>
          <w:bCs/>
          <w:sz w:val="28"/>
        </w:rPr>
        <w:t>R1-2004570</w:t>
      </w:r>
    </w:p>
    <w:p w14:paraId="2B61B936" w14:textId="1270D049"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402D17">
        <w:rPr>
          <w:rFonts w:ascii="Arial" w:eastAsia="MS Mincho" w:hAnsi="Arial" w:cs="Arial"/>
          <w:b/>
          <w:bCs/>
          <w:sz w:val="28"/>
        </w:rPr>
        <w:t>May 25</w:t>
      </w:r>
      <w:r w:rsidR="00402D17" w:rsidRPr="002610C8">
        <w:rPr>
          <w:rFonts w:ascii="Arial" w:eastAsia="MS Mincho" w:hAnsi="Arial" w:cs="Arial"/>
          <w:b/>
          <w:bCs/>
          <w:sz w:val="28"/>
          <w:vertAlign w:val="superscript"/>
        </w:rPr>
        <w:t>th</w:t>
      </w:r>
      <w:r w:rsidR="00402D17">
        <w:rPr>
          <w:rFonts w:ascii="Arial" w:eastAsia="MS Mincho" w:hAnsi="Arial" w:cs="Arial"/>
          <w:b/>
          <w:bCs/>
          <w:sz w:val="28"/>
        </w:rPr>
        <w:t xml:space="preserve"> – June 5</w:t>
      </w:r>
      <w:r w:rsidR="00402D17" w:rsidRPr="002610C8">
        <w:rPr>
          <w:rFonts w:ascii="Arial" w:eastAsia="MS Mincho" w:hAnsi="Arial" w:cs="Arial"/>
          <w:b/>
          <w:bCs/>
          <w:sz w:val="28"/>
          <w:vertAlign w:val="superscript"/>
        </w:rPr>
        <w:t>th</w:t>
      </w:r>
      <w:r w:rsidR="00402D17">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A42D996"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81013">
        <w:rPr>
          <w:rFonts w:asciiTheme="majorHAnsi" w:eastAsia="MS Gothic" w:hAnsiTheme="majorHAnsi" w:cstheme="majorHAnsi"/>
          <w:noProof w:val="0"/>
          <w:sz w:val="24"/>
        </w:rPr>
        <w:t xml:space="preserve">Remaining </w:t>
      </w:r>
      <w:r w:rsidR="00526F19">
        <w:rPr>
          <w:rFonts w:asciiTheme="majorHAnsi" w:eastAsia="MS Gothic" w:hAnsiTheme="majorHAnsi" w:cstheme="majorHAnsi"/>
          <w:noProof w:val="0"/>
          <w:sz w:val="24"/>
        </w:rPr>
        <w:t>issues</w:t>
      </w:r>
      <w:r w:rsidR="00681013">
        <w:rPr>
          <w:rFonts w:asciiTheme="majorHAnsi" w:eastAsia="MS Gothic" w:hAnsiTheme="majorHAnsi" w:cstheme="majorHAnsi"/>
          <w:noProof w:val="0"/>
          <w:sz w:val="24"/>
        </w:rPr>
        <w:t xml:space="preserve"> of V2X PHY layer structure</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5FF9A642" w14:textId="0C0DA8C6" w:rsidR="00532693" w:rsidRDefault="009A082C" w:rsidP="00BF2EB4">
      <w:r>
        <w:t xml:space="preserve">The Rel.16 work item on </w:t>
      </w:r>
      <w:r w:rsidR="00532693">
        <w:t xml:space="preserve">5G V2X with NR sidelink </w:t>
      </w:r>
      <w:r w:rsidR="00532693">
        <w:fldChar w:fldCharType="begin"/>
      </w:r>
      <w:r w:rsidR="00532693">
        <w:instrText xml:space="preserve"> REF _Ref4747864 \r \h </w:instrText>
      </w:r>
      <w:r w:rsidR="00532693">
        <w:fldChar w:fldCharType="separate"/>
      </w:r>
      <w:r w:rsidR="001D322A">
        <w:t>[1]</w:t>
      </w:r>
      <w:r w:rsidR="00532693">
        <w:fldChar w:fldCharType="end"/>
      </w:r>
      <w:r w:rsidR="00532693">
        <w:t xml:space="preserve"> was finalized </w:t>
      </w:r>
      <w:r w:rsidR="00402D17">
        <w:t>in</w:t>
      </w:r>
      <w:r w:rsidR="00532693">
        <w:t xml:space="preserve"> RAN1#99 meeting</w:t>
      </w:r>
      <w:r w:rsidR="007A014F">
        <w:t xml:space="preserve"> </w:t>
      </w:r>
      <w:r w:rsidR="007A014F">
        <w:fldChar w:fldCharType="begin"/>
      </w:r>
      <w:r w:rsidR="007A014F">
        <w:instrText xml:space="preserve"> REF _Ref32510225 \r \h </w:instrText>
      </w:r>
      <w:r w:rsidR="007A014F">
        <w:fldChar w:fldCharType="separate"/>
      </w:r>
      <w:r w:rsidR="001D322A">
        <w:t>[2]</w:t>
      </w:r>
      <w:r w:rsidR="007A014F">
        <w:fldChar w:fldCharType="end"/>
      </w:r>
      <w:r w:rsidR="007A014F">
        <w:t xml:space="preserve"> by reusing the </w:t>
      </w:r>
      <w:r w:rsidR="007A014F" w:rsidRPr="007A014F">
        <w:t>NR Uu design and/or LTE sidelink design to the greatest extent</w:t>
      </w:r>
      <w:r w:rsidR="007A014F">
        <w:t xml:space="preserve"> possible in order to expedite the completion of the V2X work</w:t>
      </w:r>
      <w:r w:rsidR="00532693">
        <w:t xml:space="preserve">. </w:t>
      </w:r>
      <w:r w:rsidR="00402D17">
        <w:t>A number of critical issues</w:t>
      </w:r>
      <w:r w:rsidR="005A3ACE">
        <w:t xml:space="preserve"> identified in</w:t>
      </w:r>
      <w:r w:rsidR="00402D17">
        <w:t xml:space="preserve"> </w:t>
      </w:r>
      <w:r w:rsidR="005A3ACE">
        <w:fldChar w:fldCharType="begin"/>
      </w:r>
      <w:r w:rsidR="005A3ACE">
        <w:instrText xml:space="preserve"> REF _Ref40289632 \r \h </w:instrText>
      </w:r>
      <w:r w:rsidR="005A3ACE">
        <w:fldChar w:fldCharType="separate"/>
      </w:r>
      <w:r w:rsidR="001D322A">
        <w:t>[3]</w:t>
      </w:r>
      <w:r w:rsidR="005A3ACE">
        <w:fldChar w:fldCharType="end"/>
      </w:r>
      <w:r w:rsidR="005A3ACE">
        <w:t xml:space="preserve"> </w:t>
      </w:r>
      <w:r w:rsidR="00402D17">
        <w:t xml:space="preserve">were fixed in the past electronic meetings RAN1#100e, and RAN1#100b-e. </w:t>
      </w:r>
      <w:r w:rsidR="00532693">
        <w:t xml:space="preserve">Nevertheless, some open issues still remain, </w:t>
      </w:r>
      <w:r w:rsidR="00402D17">
        <w:t xml:space="preserve">only part of the problems summarized in </w:t>
      </w:r>
      <w:r w:rsidR="005A3ACE">
        <w:fldChar w:fldCharType="begin"/>
      </w:r>
      <w:r w:rsidR="005A3ACE">
        <w:instrText xml:space="preserve"> REF _Ref40289613 \r \h </w:instrText>
      </w:r>
      <w:r w:rsidR="005A3ACE">
        <w:fldChar w:fldCharType="separate"/>
      </w:r>
      <w:r w:rsidR="001D322A">
        <w:t>[4]</w:t>
      </w:r>
      <w:r w:rsidR="005A3ACE">
        <w:fldChar w:fldCharType="end"/>
      </w:r>
      <w:r w:rsidR="005A3ACE">
        <w:t xml:space="preserve"> </w:t>
      </w:r>
      <w:r w:rsidR="00402D17">
        <w:t>being treated in the past meeting.</w:t>
      </w:r>
    </w:p>
    <w:p w14:paraId="0CACF395" w14:textId="77777777" w:rsidR="00526F19" w:rsidRDefault="00526F19" w:rsidP="00526F19">
      <w:r>
        <w:t>In this contribution, we give our view on some remaining aspects of sidelink physical layer design.</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2C50BD56" w14:textId="057F729D" w:rsidR="00526F19" w:rsidRDefault="00227995" w:rsidP="00635B92">
      <w:pPr>
        <w:pStyle w:val="Titre2"/>
      </w:pPr>
      <w:r>
        <w:t>On resource mapping for SL PT-RS and SL CSI-RS</w:t>
      </w:r>
    </w:p>
    <w:p w14:paraId="055CB1EE" w14:textId="4C676564" w:rsidR="00227995" w:rsidRDefault="002E0D1D" w:rsidP="00227995">
      <w:r>
        <w:t xml:space="preserve">In the past meeting, </w:t>
      </w:r>
      <w:r w:rsidR="009C342A">
        <w:t>one of the tackled subjects was whether/how to puncture/rate match around SCI information. Some companies addressed both PSCCH carrying 1</w:t>
      </w:r>
      <w:r w:rsidR="009C342A" w:rsidRPr="009C342A">
        <w:rPr>
          <w:vertAlign w:val="superscript"/>
        </w:rPr>
        <w:t>st</w:t>
      </w:r>
      <w:r w:rsidR="009C342A">
        <w:t xml:space="preserve"> stage SCI and the PSSCH part carrying 2</w:t>
      </w:r>
      <w:r w:rsidR="009C342A" w:rsidRPr="009C342A">
        <w:rPr>
          <w:vertAlign w:val="superscript"/>
        </w:rPr>
        <w:t>nd</w:t>
      </w:r>
      <w:r w:rsidR="009C342A">
        <w:t xml:space="preserve"> stage SCI.</w:t>
      </w:r>
    </w:p>
    <w:p w14:paraId="407EA372" w14:textId="4B0F83E0" w:rsidR="009C342A" w:rsidRPr="00227995" w:rsidRDefault="00D833A5" w:rsidP="00227995">
      <w:r>
        <w:t xml:space="preserve">As far as PT-RS is concerned, </w:t>
      </w:r>
      <w:r w:rsidR="009C342A">
        <w:t>PSCCH does not (and should</w:t>
      </w:r>
      <w:r>
        <w:t xml:space="preserve"> not) carry any PT-RS</w:t>
      </w:r>
      <w:r w:rsidR="009C342A">
        <w:t xml:space="preserve">. First of all, the positions of </w:t>
      </w:r>
      <w:r>
        <w:t>PT-</w:t>
      </w:r>
      <w:r w:rsidR="009C342A">
        <w:t xml:space="preserve">RS </w:t>
      </w:r>
      <w:r w:rsidR="00216D78">
        <w:t>are</w:t>
      </w:r>
      <w:r w:rsidR="009C342A">
        <w:t xml:space="preserve"> not known before retrieving </w:t>
      </w:r>
      <w:r>
        <w:t xml:space="preserve">the </w:t>
      </w:r>
      <w:r w:rsidR="009C342A">
        <w:t>1</w:t>
      </w:r>
      <w:r w:rsidR="009C342A" w:rsidRPr="009C342A">
        <w:rPr>
          <w:vertAlign w:val="superscript"/>
        </w:rPr>
        <w:t>st</w:t>
      </w:r>
      <w:r w:rsidR="009C342A">
        <w:t xml:space="preserve"> stage SCI carried in PSCCH, so rate matching around said positions is not feasible, and puncturing is damageable for the performance. </w:t>
      </w:r>
      <w:r>
        <w:t xml:space="preserve">Moreover, since PSCCH DMRS is dense and present in all PSCCH symbols, there is no performance gain from inserting PT-RS, because the phase drift is already absorbed by the channel estimation process. In Uu link, OFDM symbols carrying DM-RS do not carry PT-RS for this reason. In our view, in the current state of the specifications </w:t>
      </w:r>
      <w:r w:rsidR="00CF1756">
        <w:t>PT-RS for PSCCH is not defined, PT-RS</w:t>
      </w:r>
      <w:r w:rsidR="00216D78">
        <w:t xml:space="preserve"> are specifically labelled as being PSSCH specific reference signals (38.211/8</w:t>
      </w:r>
      <w:r w:rsidR="00CF1756">
        <w:t>.4.1.2</w:t>
      </w:r>
      <w:r w:rsidR="00216D78">
        <w:t>)</w:t>
      </w:r>
      <w:r w:rsidR="00CF1756">
        <w:t xml:space="preserve">, and are not to be inserted in symbols carrying DM-RS anyhow, </w:t>
      </w:r>
      <w:r>
        <w:t>so no further decision seems necessary.</w:t>
      </w:r>
    </w:p>
    <w:p w14:paraId="7F718368" w14:textId="004843F7" w:rsidR="00526F19" w:rsidRDefault="009C342A" w:rsidP="00526F19">
      <w:pPr>
        <w:rPr>
          <w:i/>
        </w:rPr>
      </w:pPr>
      <w:bookmarkStart w:id="1" w:name="_Toc37352723"/>
      <w:bookmarkStart w:id="2" w:name="_Toc37431536"/>
      <w:r>
        <w:rPr>
          <w:b/>
        </w:rPr>
        <w:t>Conclusion</w:t>
      </w:r>
      <w:r w:rsidR="003633A6">
        <w:rPr>
          <w:b/>
        </w:rPr>
        <w:t xml:space="preserve"> 1</w:t>
      </w:r>
      <w:r w:rsidR="009277C8">
        <w:t xml:space="preserve">: </w:t>
      </w:r>
      <w:r w:rsidR="00D833A5">
        <w:rPr>
          <w:i/>
        </w:rPr>
        <w:t>PSCCH does not carry PT-RS</w:t>
      </w:r>
      <w:r w:rsidR="009277C8">
        <w:rPr>
          <w:i/>
        </w:rPr>
        <w:t>.</w:t>
      </w:r>
      <w:bookmarkEnd w:id="1"/>
      <w:bookmarkEnd w:id="2"/>
      <w:r w:rsidR="00216D78">
        <w:rPr>
          <w:i/>
        </w:rPr>
        <w:t xml:space="preserve"> No further decision </w:t>
      </w:r>
      <w:r w:rsidR="00566EE5">
        <w:rPr>
          <w:i/>
        </w:rPr>
        <w:t>seems</w:t>
      </w:r>
      <w:r w:rsidR="00216D78">
        <w:rPr>
          <w:i/>
        </w:rPr>
        <w:t xml:space="preserve"> necessary.</w:t>
      </w:r>
    </w:p>
    <w:p w14:paraId="4D5908E7" w14:textId="68A412A1" w:rsidR="00566EE5" w:rsidRDefault="00566EE5" w:rsidP="00526F19">
      <w:r>
        <w:t>2</w:t>
      </w:r>
      <w:r w:rsidRPr="00566EE5">
        <w:rPr>
          <w:vertAlign w:val="superscript"/>
        </w:rPr>
        <w:t>nd</w:t>
      </w:r>
      <w:r>
        <w:t xml:space="preserve"> stage SCI is embedded in PSSCH transmission. When detecting PSSCH, the PT-RS positions are already known as per 1</w:t>
      </w:r>
      <w:r w:rsidRPr="00566EE5">
        <w:rPr>
          <w:vertAlign w:val="superscript"/>
        </w:rPr>
        <w:t>st</w:t>
      </w:r>
      <w:r>
        <w:t xml:space="preserve"> stage SCI information on MCS, resource allocation and DM-RS positions. PT-RS insertion is beneficial performance-wise. There is no reason to treat differently the 2nds stage SCI part with respect </w:t>
      </w:r>
      <w:r w:rsidR="002F6672">
        <w:t xml:space="preserve">to the data part in PSSCH, so rate matching around PT-RS positions is the natural way. </w:t>
      </w:r>
    </w:p>
    <w:p w14:paraId="796B93E9" w14:textId="3813FAEA" w:rsidR="002F6672" w:rsidRDefault="002F6672" w:rsidP="00526F19">
      <w:r>
        <w:t>In the current state of the specifications, layer mapping, precoding and mapping to virtual resource blocks operations are common to all PSSCH modulated symbols, 2</w:t>
      </w:r>
      <w:r w:rsidRPr="002F6672">
        <w:rPr>
          <w:vertAlign w:val="superscript"/>
        </w:rPr>
        <w:t>nd</w:t>
      </w:r>
      <w:r>
        <w:t xml:space="preserve"> stage SCI and data altogether. 38.211/8.3.1.5 specifies that PSSCH contents are rate matched around DM-RS, PT-RS, CSI-RS, or PSCCH. Thus, the current state of the specifications seems to correctly address the issue, no further decision seems necessary.</w:t>
      </w:r>
    </w:p>
    <w:p w14:paraId="2A813DC2" w14:textId="6C091E5B" w:rsidR="002F6672" w:rsidRDefault="002F6672" w:rsidP="002F6672">
      <w:pPr>
        <w:rPr>
          <w:i/>
        </w:rPr>
      </w:pPr>
      <w:r>
        <w:rPr>
          <w:b/>
        </w:rPr>
        <w:t>Conclusion</w:t>
      </w:r>
      <w:r w:rsidR="003633A6">
        <w:rPr>
          <w:b/>
        </w:rPr>
        <w:t xml:space="preserve"> 2</w:t>
      </w:r>
      <w:r>
        <w:t xml:space="preserve">: </w:t>
      </w:r>
      <w:r w:rsidR="00B8357C">
        <w:rPr>
          <w:i/>
        </w:rPr>
        <w:t>All PSSCH contents, including 2</w:t>
      </w:r>
      <w:r w:rsidR="00B8357C" w:rsidRPr="00B8357C">
        <w:rPr>
          <w:i/>
          <w:vertAlign w:val="superscript"/>
        </w:rPr>
        <w:t>nd</w:t>
      </w:r>
      <w:r w:rsidR="00B8357C">
        <w:rPr>
          <w:i/>
        </w:rPr>
        <w:t xml:space="preserve"> stage SCI, is rate matched around PT-RS</w:t>
      </w:r>
      <w:r>
        <w:rPr>
          <w:i/>
        </w:rPr>
        <w:t>. No further decision seems necessary.</w:t>
      </w:r>
    </w:p>
    <w:p w14:paraId="718DA2FE" w14:textId="77777777" w:rsidR="002F6672" w:rsidRDefault="002F6672" w:rsidP="00526F19"/>
    <w:p w14:paraId="129B1F06" w14:textId="1D4724BC" w:rsidR="00D833A5" w:rsidRPr="00D833A5" w:rsidRDefault="00216D78" w:rsidP="00526F19">
      <w:r>
        <w:lastRenderedPageBreak/>
        <w:t>As far as CSI-RS is concerned, PSCCH should not carry any CSI-RS either. The positions of CSI-RS are not known before retrieving the 2</w:t>
      </w:r>
      <w:r w:rsidRPr="00216D78">
        <w:rPr>
          <w:vertAlign w:val="superscript"/>
        </w:rPr>
        <w:t>nd</w:t>
      </w:r>
      <w:r>
        <w:t xml:space="preserve"> stage SCI carried in PSSCH, so rate matching around said positions is not feasible, and puncturing is damageable for the performance. In Uu link, </w:t>
      </w:r>
      <w:r w:rsidR="00CF1756">
        <w:t xml:space="preserve">the UE </w:t>
      </w:r>
      <w:r w:rsidR="00464BE2">
        <w:t>assumes that transmission of a configured</w:t>
      </w:r>
      <w:r w:rsidR="00CF1756">
        <w:t xml:space="preserve"> CSI-RS </w:t>
      </w:r>
      <w:r w:rsidR="00464BE2">
        <w:t>does not collide</w:t>
      </w:r>
      <w:r w:rsidR="00CF1756">
        <w:t xml:space="preserve"> with any CORESET configured for the device, DM-RS associated with PDSCH or transmitted SS block</w:t>
      </w:r>
      <w:r>
        <w:t>.</w:t>
      </w:r>
      <w:r w:rsidR="00CF1756">
        <w:t xml:space="preserve"> The same principle applies to sidelink, th</w:t>
      </w:r>
      <w:r w:rsidR="00464BE2">
        <w:t>us CSI-RS transmission should be dropped if colliding with PSCCH</w:t>
      </w:r>
      <w:r w:rsidR="00CF1756">
        <w:t xml:space="preserve">. If any clarification is deemed necessary with respect to the current specification, </w:t>
      </w:r>
      <w:r w:rsidR="00464BE2">
        <w:t>the following can be added:</w:t>
      </w:r>
    </w:p>
    <w:p w14:paraId="0F24C0AF" w14:textId="0138DADD" w:rsidR="00C513C0" w:rsidRDefault="00C513C0" w:rsidP="00C513C0">
      <w:bookmarkStart w:id="3" w:name="_Toc40368513"/>
      <w:bookmarkStart w:id="4" w:name="_Toc40368857"/>
      <w:bookmarkStart w:id="5" w:name="_Toc40450192"/>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1D322A">
        <w:rPr>
          <w:b/>
          <w:noProof/>
        </w:rPr>
        <w:t>1</w:t>
      </w:r>
      <w:r w:rsidRPr="002D78A8">
        <w:rPr>
          <w:b/>
          <w:noProof/>
        </w:rPr>
        <w:fldChar w:fldCharType="end"/>
      </w:r>
      <w:r>
        <w:t xml:space="preserve">: </w:t>
      </w:r>
      <w:r w:rsidR="00464BE2" w:rsidRPr="00464BE2">
        <w:rPr>
          <w:i/>
        </w:rPr>
        <w:t>CSI-RS transmission is dropped if colliding with PSCCH</w:t>
      </w:r>
      <w:r>
        <w:rPr>
          <w:i/>
        </w:rPr>
        <w:t>.</w:t>
      </w:r>
      <w:bookmarkEnd w:id="3"/>
      <w:bookmarkEnd w:id="4"/>
      <w:bookmarkEnd w:id="5"/>
    </w:p>
    <w:p w14:paraId="17FAE0F8" w14:textId="67CFD629" w:rsidR="004D2472" w:rsidRDefault="00CE6FB5" w:rsidP="00526F19">
      <w:r>
        <w:t>In the same manner</w:t>
      </w:r>
      <w:r w:rsidR="002339C3">
        <w:t xml:space="preserve">, the </w:t>
      </w:r>
      <w:r w:rsidR="00AC249B">
        <w:t xml:space="preserve">presence of </w:t>
      </w:r>
      <w:r w:rsidR="002339C3">
        <w:t xml:space="preserve">CSI-RS </w:t>
      </w:r>
      <w:r w:rsidR="00AC249B">
        <w:t>is not</w:t>
      </w:r>
      <w:r w:rsidR="002339C3">
        <w:t xml:space="preserve"> known before 2</w:t>
      </w:r>
      <w:r w:rsidR="002339C3" w:rsidRPr="002339C3">
        <w:rPr>
          <w:vertAlign w:val="superscript"/>
        </w:rPr>
        <w:t>nd</w:t>
      </w:r>
      <w:r w:rsidR="002339C3">
        <w:t xml:space="preserve"> stage SCI detection. Thus, rate matching of 2</w:t>
      </w:r>
      <w:r w:rsidR="002339C3" w:rsidRPr="002339C3">
        <w:rPr>
          <w:vertAlign w:val="superscript"/>
        </w:rPr>
        <w:t>nd</w:t>
      </w:r>
      <w:r w:rsidR="002339C3">
        <w:t xml:space="preserve"> stage SCI around </w:t>
      </w:r>
      <w:r w:rsidR="001D322A">
        <w:t>CSI-RS pattern is not feasible. 2</w:t>
      </w:r>
      <w:r w:rsidR="001D322A" w:rsidRPr="001D322A">
        <w:rPr>
          <w:vertAlign w:val="superscript"/>
        </w:rPr>
        <w:t>nd</w:t>
      </w:r>
      <w:r w:rsidR="001D322A">
        <w:t xml:space="preserve"> stage SCI should not be punctured for performance reasons.</w:t>
      </w:r>
    </w:p>
    <w:p w14:paraId="1D8AFC8B" w14:textId="66378637" w:rsidR="00B30DFA" w:rsidRDefault="00AC249B" w:rsidP="00526F19">
      <w:pPr>
        <w:rPr>
          <w:i/>
        </w:rPr>
      </w:pPr>
      <w:bookmarkStart w:id="6" w:name="_Toc40368514"/>
      <w:bookmarkStart w:id="7" w:name="_Toc40368858"/>
      <w:bookmarkStart w:id="8" w:name="_Toc40450193"/>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1D322A">
        <w:rPr>
          <w:b/>
          <w:noProof/>
        </w:rPr>
        <w:t>2</w:t>
      </w:r>
      <w:r w:rsidRPr="002D78A8">
        <w:rPr>
          <w:b/>
          <w:noProof/>
        </w:rPr>
        <w:fldChar w:fldCharType="end"/>
      </w:r>
      <w:r>
        <w:t xml:space="preserve">: </w:t>
      </w:r>
      <w:r w:rsidRPr="00464BE2">
        <w:rPr>
          <w:i/>
        </w:rPr>
        <w:t xml:space="preserve">CSI-RS transmission is dropped if colliding with </w:t>
      </w:r>
      <w:r>
        <w:rPr>
          <w:i/>
        </w:rPr>
        <w:t>2</w:t>
      </w:r>
      <w:r w:rsidRPr="00AC249B">
        <w:rPr>
          <w:i/>
          <w:vertAlign w:val="superscript"/>
        </w:rPr>
        <w:t>nd</w:t>
      </w:r>
      <w:r>
        <w:rPr>
          <w:i/>
        </w:rPr>
        <w:t xml:space="preserve"> stage SCI.</w:t>
      </w:r>
      <w:bookmarkEnd w:id="6"/>
      <w:bookmarkEnd w:id="7"/>
      <w:bookmarkEnd w:id="8"/>
    </w:p>
    <w:p w14:paraId="25BF359A" w14:textId="0F130F7E" w:rsidR="00AC249B" w:rsidRDefault="0011697A" w:rsidP="00526F19">
      <w:r>
        <w:t xml:space="preserve">More generally, concerning CSI-RS, the same collision and dropping rules as Uu link should apply, for example for collision with DM-RS. </w:t>
      </w:r>
    </w:p>
    <w:p w14:paraId="6946088C" w14:textId="5EBA7AED" w:rsidR="0011697A" w:rsidRDefault="0011697A" w:rsidP="00526F19">
      <w:pPr>
        <w:rPr>
          <w:i/>
        </w:rPr>
      </w:pPr>
      <w:bookmarkStart w:id="9" w:name="_Toc40368859"/>
      <w:bookmarkStart w:id="10" w:name="_Toc40450194"/>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1D322A">
        <w:rPr>
          <w:b/>
          <w:noProof/>
        </w:rPr>
        <w:t>3</w:t>
      </w:r>
      <w:r w:rsidRPr="002D78A8">
        <w:rPr>
          <w:b/>
          <w:noProof/>
        </w:rPr>
        <w:fldChar w:fldCharType="end"/>
      </w:r>
      <w:r>
        <w:t xml:space="preserve">: </w:t>
      </w:r>
      <w:r w:rsidRPr="0011697A">
        <w:rPr>
          <w:i/>
        </w:rPr>
        <w:t xml:space="preserve">UE is not expected to </w:t>
      </w:r>
      <w:r>
        <w:rPr>
          <w:i/>
        </w:rPr>
        <w:t>transmit/receive</w:t>
      </w:r>
      <w:r w:rsidRPr="0011697A">
        <w:rPr>
          <w:i/>
        </w:rPr>
        <w:t xml:space="preserve"> CSI-RS </w:t>
      </w:r>
      <w:r>
        <w:rPr>
          <w:i/>
        </w:rPr>
        <w:t>on a resource element configured as DM-RS</w:t>
      </w:r>
      <w:bookmarkEnd w:id="9"/>
      <w:r>
        <w:rPr>
          <w:i/>
        </w:rPr>
        <w:t>.</w:t>
      </w:r>
      <w:bookmarkEnd w:id="10"/>
    </w:p>
    <w:p w14:paraId="0C35EF9B" w14:textId="77777777" w:rsidR="00A9120B" w:rsidRPr="00526F19" w:rsidRDefault="00A9120B" w:rsidP="00526F19"/>
    <w:p w14:paraId="36AEE047" w14:textId="67225CD8" w:rsidR="00635B92" w:rsidRDefault="007C1780" w:rsidP="00635B92">
      <w:pPr>
        <w:pStyle w:val="Titre2"/>
      </w:pPr>
      <w:r>
        <w:t>DM</w:t>
      </w:r>
      <w:r w:rsidR="00404334">
        <w:t>RS</w:t>
      </w:r>
      <w:r w:rsidR="008C7AB3">
        <w:t xml:space="preserve"> for PSSCH</w:t>
      </w:r>
    </w:p>
    <w:p w14:paraId="5741C2F6" w14:textId="054A196D" w:rsidR="00635B92" w:rsidRDefault="00726D7E" w:rsidP="00635B92">
      <w:pPr>
        <w:pStyle w:val="Titre3"/>
      </w:pPr>
      <w:bookmarkStart w:id="11" w:name="_Ref15072336"/>
      <w:r>
        <w:t xml:space="preserve">On </w:t>
      </w:r>
      <w:bookmarkEnd w:id="11"/>
      <w:r w:rsidR="009277C8">
        <w:t>insufficient performance at high speed and low SCS</w:t>
      </w:r>
    </w:p>
    <w:p w14:paraId="5AD60252" w14:textId="3B4EE460" w:rsidR="00CD4986" w:rsidRDefault="009E4CBC" w:rsidP="006B4035">
      <w:r>
        <w:t xml:space="preserve">NR Uu DMRS patterns are reused in V2X sidelink as per the decisions in the latest RAN1#99 </w:t>
      </w:r>
      <w:r>
        <w:fldChar w:fldCharType="begin"/>
      </w:r>
      <w:r>
        <w:instrText xml:space="preserve"> REF _Ref32510225 \r \h </w:instrText>
      </w:r>
      <w:r>
        <w:fldChar w:fldCharType="separate"/>
      </w:r>
      <w:r w:rsidR="001D322A">
        <w:t>[2]</w:t>
      </w:r>
      <w:r>
        <w:fldChar w:fldCharType="end"/>
      </w:r>
      <w:r>
        <w:t xml:space="preserve"> and email discussion [99-NR-05].</w:t>
      </w:r>
    </w:p>
    <w:p w14:paraId="14E40D8F" w14:textId="17C0B793" w:rsidR="00CD4986" w:rsidRDefault="00CD4986" w:rsidP="00CD4986">
      <w:r>
        <w:t>In the email discussion [99-NR-05], the problem of V2X performance at high relative speed has been acknowledged and alternative solutions such as falling back to LTE patterns have been evaluated by several companies. NR pattern was decided to be agreed for alignment with Uu link design, since the cases where LTE pattern has superior performance (64QAM or higher at 240kmph or higher relative speed) are very unlikely as per MCS restrictions.</w:t>
      </w:r>
    </w:p>
    <w:p w14:paraId="574F4709" w14:textId="58188F6A" w:rsidR="00CD4986" w:rsidRDefault="009559BA" w:rsidP="00CD4986">
      <w:r>
        <w:t>Our findings also showed that</w:t>
      </w:r>
      <w:r w:rsidR="00CD4986">
        <w:t xml:space="preserve"> neither </w:t>
      </w:r>
      <w:r>
        <w:t xml:space="preserve">LTE nor NR </w:t>
      </w:r>
      <w:r w:rsidR="00CD4986">
        <w:t xml:space="preserve">pattern </w:t>
      </w:r>
      <w:r>
        <w:t>offer</w:t>
      </w:r>
      <w:r w:rsidR="00CD4986">
        <w:t xml:space="preserve"> sufficient performance </w:t>
      </w:r>
      <w:r>
        <w:t>at very high speed and 15kHz SCS. In this case, e</w:t>
      </w:r>
      <w:r w:rsidR="00875E71">
        <w:t xml:space="preserve">ven sufficiently coded 16QAM displays poor performance at very high speed (e.g. 500kmph), as it can be easily seen </w:t>
      </w:r>
      <w:r w:rsidR="00981BC2">
        <w:t xml:space="preserve">from </w:t>
      </w:r>
      <w:r w:rsidR="00981BC2">
        <w:fldChar w:fldCharType="begin"/>
      </w:r>
      <w:r w:rsidR="00981BC2">
        <w:instrText xml:space="preserve"> REF _Ref32597941 \h </w:instrText>
      </w:r>
      <w:r w:rsidR="00981BC2">
        <w:fldChar w:fldCharType="separate"/>
      </w:r>
      <w:r w:rsidR="001D322A">
        <w:t xml:space="preserve">Figure </w:t>
      </w:r>
      <w:r w:rsidR="001D322A">
        <w:rPr>
          <w:noProof/>
        </w:rPr>
        <w:t>1</w:t>
      </w:r>
      <w:r w:rsidR="00981BC2">
        <w:fldChar w:fldCharType="end"/>
      </w:r>
      <w:r w:rsidR="00981BC2">
        <w:t xml:space="preserve"> and </w:t>
      </w:r>
      <w:r w:rsidR="00981BC2">
        <w:fldChar w:fldCharType="begin"/>
      </w:r>
      <w:r w:rsidR="00981BC2">
        <w:instrText xml:space="preserve"> REF _Ref32597946 \h </w:instrText>
      </w:r>
      <w:r w:rsidR="00981BC2">
        <w:fldChar w:fldCharType="separate"/>
      </w:r>
      <w:r w:rsidR="001D322A">
        <w:t xml:space="preserve">Figure </w:t>
      </w:r>
      <w:r w:rsidR="001D322A">
        <w:rPr>
          <w:noProof/>
        </w:rPr>
        <w:t>2</w:t>
      </w:r>
      <w:r w:rsidR="00981BC2">
        <w:fldChar w:fldCharType="end"/>
      </w:r>
      <w:r w:rsidR="00875E71">
        <w:t xml:space="preserve">, </w:t>
      </w:r>
      <w:r w:rsidR="00981BC2">
        <w:t>where the</w:t>
      </w:r>
      <w:r w:rsidR="00875E71">
        <w:t xml:space="preserve"> 6 RS pattern heavily outperforms the 4 RS pattern</w:t>
      </w:r>
      <w:r w:rsidR="00981BC2">
        <w:t xml:space="preserve"> both in FER and throughput</w:t>
      </w:r>
      <w:r w:rsidR="00875E71">
        <w:t>.</w:t>
      </w:r>
      <w:r w:rsidR="00981BC2">
        <w:t xml:space="preserve"> This is in line with the analysis in our previous contributions </w:t>
      </w:r>
      <w:r w:rsidR="00981BC2">
        <w:fldChar w:fldCharType="begin"/>
      </w:r>
      <w:r w:rsidR="00981BC2">
        <w:instrText xml:space="preserve"> REF _Ref24046530 \r \h </w:instrText>
      </w:r>
      <w:r w:rsidR="00981BC2">
        <w:fldChar w:fldCharType="separate"/>
      </w:r>
      <w:r w:rsidR="001D322A">
        <w:t>[5]</w:t>
      </w:r>
      <w:r w:rsidR="00981BC2">
        <w:fldChar w:fldCharType="end"/>
      </w:r>
      <w:r w:rsidR="00981BC2">
        <w:t>-</w:t>
      </w:r>
      <w:r w:rsidR="00981BC2">
        <w:fldChar w:fldCharType="begin"/>
      </w:r>
      <w:r w:rsidR="00981BC2">
        <w:instrText xml:space="preserve"> REF _Ref4769825 \r \h </w:instrText>
      </w:r>
      <w:r w:rsidR="00981BC2">
        <w:fldChar w:fldCharType="separate"/>
      </w:r>
      <w:r w:rsidR="001D322A">
        <w:t>[10]</w:t>
      </w:r>
      <w:r w:rsidR="00981BC2">
        <w:fldChar w:fldCharType="end"/>
      </w:r>
      <w:r w:rsidR="00981BC2">
        <w:t>.</w:t>
      </w:r>
      <w:r w:rsidR="00A14E6E">
        <w:t xml:space="preserve"> The simulated 6RS pattern is [1,3,5,7,9,11].</w:t>
      </w:r>
    </w:p>
    <w:p w14:paraId="0AD026EB" w14:textId="097AFFB0" w:rsidR="00875E71" w:rsidRDefault="00981BC2" w:rsidP="00CD4986">
      <w:r>
        <w:t>To overcome this strong limitation, we propose the following</w:t>
      </w:r>
    </w:p>
    <w:p w14:paraId="49D77277" w14:textId="4A245E83" w:rsidR="00981BC2" w:rsidRDefault="00981BC2" w:rsidP="00981BC2">
      <w:bookmarkStart w:id="12" w:name="_Toc32598947"/>
      <w:bookmarkStart w:id="13" w:name="_Toc32599005"/>
      <w:bookmarkStart w:id="14" w:name="_Toc32599152"/>
      <w:bookmarkStart w:id="15" w:name="_Toc32599177"/>
      <w:bookmarkStart w:id="16" w:name="_Toc32599219"/>
      <w:bookmarkStart w:id="17" w:name="_Toc32599458"/>
      <w:bookmarkStart w:id="18" w:name="_Toc37352660"/>
      <w:bookmarkStart w:id="19" w:name="_Toc37352664"/>
      <w:bookmarkStart w:id="20" w:name="_Toc37352724"/>
      <w:bookmarkStart w:id="21" w:name="_Toc37431537"/>
      <w:bookmarkStart w:id="22" w:name="_Toc40368515"/>
      <w:bookmarkStart w:id="23" w:name="_Toc40368860"/>
      <w:bookmarkStart w:id="24" w:name="_Toc40450195"/>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1D322A">
        <w:rPr>
          <w:b/>
          <w:noProof/>
        </w:rPr>
        <w:t>4</w:t>
      </w:r>
      <w:r w:rsidRPr="002D78A8">
        <w:rPr>
          <w:b/>
          <w:noProof/>
        </w:rPr>
        <w:fldChar w:fldCharType="end"/>
      </w:r>
      <w:r>
        <w:t xml:space="preserve">: </w:t>
      </w:r>
      <w:r>
        <w:rPr>
          <w:i/>
        </w:rPr>
        <w:t>Support a pattern with 6 DM-RS with limited use (</w:t>
      </w:r>
      <w:r w:rsidR="008E4D76">
        <w:rPr>
          <w:i/>
        </w:rPr>
        <w:t>SCS, MCS restriction</w:t>
      </w:r>
      <w:r>
        <w:rPr>
          <w:i/>
        </w:rPr>
        <w:t>).</w:t>
      </w:r>
      <w:bookmarkEnd w:id="12"/>
      <w:bookmarkEnd w:id="13"/>
      <w:bookmarkEnd w:id="14"/>
      <w:bookmarkEnd w:id="15"/>
      <w:bookmarkEnd w:id="16"/>
      <w:bookmarkEnd w:id="17"/>
      <w:bookmarkEnd w:id="18"/>
      <w:bookmarkEnd w:id="19"/>
      <w:bookmarkEnd w:id="20"/>
      <w:bookmarkEnd w:id="21"/>
      <w:bookmarkEnd w:id="22"/>
      <w:bookmarkEnd w:id="23"/>
      <w:bookmarkEnd w:id="24"/>
    </w:p>
    <w:p w14:paraId="78CB5F87" w14:textId="30ADA9AE" w:rsidR="009E4CBC" w:rsidRDefault="00981BC2" w:rsidP="006B4035">
      <w:r>
        <w:t xml:space="preserve">The scope of the limitation on the use of this pattern is to avoid having an impact on the amount of SCI bits needed for DMRS signaling. </w:t>
      </w:r>
      <w:r w:rsidR="008E4D76">
        <w:t>DMRS subset restriction based on MCS/SCS thresholds can be fixed in the specification.</w:t>
      </w:r>
    </w:p>
    <w:p w14:paraId="1E8D62AD" w14:textId="650C4F9C" w:rsidR="008E4D76" w:rsidRDefault="008E4D76" w:rsidP="008E4D76">
      <w:r>
        <w:t xml:space="preserve">A second more flexible approach (but with RAN2 impact) would be to apply DM-RS subset restriction based on configurable thresholds, like for PT-RS. For example, parameters </w:t>
      </w:r>
      <w:r w:rsidRPr="002C307F">
        <w:rPr>
          <w:i/>
        </w:rPr>
        <w:t>{MCS_THi, subset_i}</w:t>
      </w:r>
      <w:r>
        <w:t xml:space="preserve"> are (pre)configured, such as if </w:t>
      </w:r>
      <w:r w:rsidRPr="002C307F">
        <w:rPr>
          <w:i/>
        </w:rPr>
        <w:t>MCS_THi&lt;=MCS&lt;MCS_TH(i+1)</w:t>
      </w:r>
      <w:r>
        <w:t xml:space="preserve"> the Tx UE chooses the DM-RS pattern from </w:t>
      </w:r>
      <w:r w:rsidRPr="002C307F">
        <w:rPr>
          <w:i/>
        </w:rPr>
        <w:t>subset_i</w:t>
      </w:r>
      <w:r>
        <w:t>. This is similar to Uu link UL PT-RS design, where the PT-RS pattern is chosen from a set of patterns based on RRC indication of MCS and/or allocation size thresholds.</w:t>
      </w:r>
    </w:p>
    <w:p w14:paraId="0AEA30DC" w14:textId="2E829E08" w:rsidR="00981BC2" w:rsidRDefault="008E4D76" w:rsidP="00981BC2">
      <w:pPr>
        <w:keepNext/>
      </w:pPr>
      <w:r>
        <w:rPr>
          <w:noProof/>
          <w:lang w:eastAsia="en-US"/>
        </w:rPr>
        <w:lastRenderedPageBreak/>
        <w:drawing>
          <wp:inline distT="0" distB="0" distL="0" distR="0" wp14:anchorId="636DDCA2" wp14:editId="14004D4E">
            <wp:extent cx="5981700" cy="3229536"/>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9605" cy="3233804"/>
                    </a:xfrm>
                    <a:prstGeom prst="rect">
                      <a:avLst/>
                    </a:prstGeom>
                    <a:noFill/>
                  </pic:spPr>
                </pic:pic>
              </a:graphicData>
            </a:graphic>
          </wp:inline>
        </w:drawing>
      </w:r>
    </w:p>
    <w:p w14:paraId="4A29E604" w14:textId="16BD29FF" w:rsidR="009E4CBC" w:rsidRDefault="00981BC2" w:rsidP="00981BC2">
      <w:pPr>
        <w:pStyle w:val="Lgende"/>
      </w:pPr>
      <w:bookmarkStart w:id="25" w:name="_Ref32597941"/>
      <w:r>
        <w:t xml:space="preserve">Figure </w:t>
      </w:r>
      <w:r w:rsidR="00263444">
        <w:fldChar w:fldCharType="begin"/>
      </w:r>
      <w:r w:rsidR="00263444">
        <w:instrText xml:space="preserve"> SEQ Figure \* ARABIC </w:instrText>
      </w:r>
      <w:r w:rsidR="00263444">
        <w:fldChar w:fldCharType="separate"/>
      </w:r>
      <w:r w:rsidR="001D322A">
        <w:rPr>
          <w:noProof/>
        </w:rPr>
        <w:t>1</w:t>
      </w:r>
      <w:r w:rsidR="00263444">
        <w:rPr>
          <w:noProof/>
        </w:rPr>
        <w:fldChar w:fldCharType="end"/>
      </w:r>
      <w:bookmarkEnd w:id="25"/>
      <w:r>
        <w:t xml:space="preserve"> </w:t>
      </w:r>
      <w:r w:rsidR="008E4D76">
        <w:t>FER performance of 4RS and 6RS pattern at 15kHz SCS and high speed</w:t>
      </w:r>
    </w:p>
    <w:p w14:paraId="31A3AD36" w14:textId="77777777" w:rsidR="009E4CBC" w:rsidRDefault="009E4CBC" w:rsidP="006B4035"/>
    <w:p w14:paraId="2443467F" w14:textId="127DC032" w:rsidR="00981BC2" w:rsidRDefault="008E4D76" w:rsidP="00981BC2">
      <w:pPr>
        <w:keepNext/>
      </w:pPr>
      <w:r>
        <w:rPr>
          <w:noProof/>
          <w:lang w:eastAsia="en-US"/>
        </w:rPr>
        <w:drawing>
          <wp:inline distT="0" distB="0" distL="0" distR="0" wp14:anchorId="575130D8" wp14:editId="4584E5FE">
            <wp:extent cx="6172200" cy="333326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6178" cy="3335410"/>
                    </a:xfrm>
                    <a:prstGeom prst="rect">
                      <a:avLst/>
                    </a:prstGeom>
                    <a:noFill/>
                  </pic:spPr>
                </pic:pic>
              </a:graphicData>
            </a:graphic>
          </wp:inline>
        </w:drawing>
      </w:r>
    </w:p>
    <w:p w14:paraId="7117B809" w14:textId="794BDC6C" w:rsidR="009E4CBC" w:rsidRDefault="00981BC2" w:rsidP="00981BC2">
      <w:pPr>
        <w:pStyle w:val="Lgende"/>
      </w:pPr>
      <w:bookmarkStart w:id="26" w:name="_Ref32597946"/>
      <w:r>
        <w:t xml:space="preserve">Figure </w:t>
      </w:r>
      <w:r w:rsidR="00263444">
        <w:fldChar w:fldCharType="begin"/>
      </w:r>
      <w:r w:rsidR="00263444">
        <w:instrText xml:space="preserve"> SEQ Figure \* ARABIC </w:instrText>
      </w:r>
      <w:r w:rsidR="00263444">
        <w:fldChar w:fldCharType="separate"/>
      </w:r>
      <w:r w:rsidR="001D322A">
        <w:rPr>
          <w:noProof/>
        </w:rPr>
        <w:t>2</w:t>
      </w:r>
      <w:r w:rsidR="00263444">
        <w:rPr>
          <w:noProof/>
        </w:rPr>
        <w:fldChar w:fldCharType="end"/>
      </w:r>
      <w:bookmarkEnd w:id="26"/>
      <w:r w:rsidR="008E4D76">
        <w:t xml:space="preserve"> Throughput performance of 4RS and 6RS pattern at 15kHz SCS and high speed</w:t>
      </w:r>
    </w:p>
    <w:p w14:paraId="321899C7" w14:textId="77777777" w:rsidR="009277C8" w:rsidRDefault="009277C8" w:rsidP="009277C8"/>
    <w:p w14:paraId="74D02362" w14:textId="2DAB59BB" w:rsidR="009277C8" w:rsidRDefault="009277C8" w:rsidP="009277C8">
      <w:pPr>
        <w:pStyle w:val="Titre3"/>
      </w:pPr>
      <w:r>
        <w:t xml:space="preserve">Other </w:t>
      </w:r>
      <w:r w:rsidR="002C59D3">
        <w:t xml:space="preserve">DM-RS related </w:t>
      </w:r>
      <w:r>
        <w:t>issues</w:t>
      </w:r>
    </w:p>
    <w:p w14:paraId="6FEA5A5D" w14:textId="77777777" w:rsidR="009277C8" w:rsidRPr="006348E8" w:rsidRDefault="009277C8" w:rsidP="009277C8">
      <w:pPr>
        <w:rPr>
          <w:b/>
          <w:u w:val="single"/>
        </w:rPr>
      </w:pPr>
      <w:r>
        <w:rPr>
          <w:b/>
          <w:u w:val="single"/>
        </w:rPr>
        <w:t>Supplementary assistance information for p</w:t>
      </w:r>
      <w:r w:rsidRPr="006348E8">
        <w:rPr>
          <w:b/>
          <w:u w:val="single"/>
        </w:rPr>
        <w:t>attern choice</w:t>
      </w:r>
      <w:r>
        <w:rPr>
          <w:b/>
          <w:u w:val="single"/>
        </w:rPr>
        <w:t xml:space="preserve"> by transmitter UE</w:t>
      </w:r>
      <w:r w:rsidRPr="006348E8">
        <w:rPr>
          <w:b/>
          <w:u w:val="single"/>
        </w:rPr>
        <w:t xml:space="preserve"> </w:t>
      </w:r>
    </w:p>
    <w:p w14:paraId="0C99940E" w14:textId="77777777" w:rsidR="009277C8" w:rsidRDefault="009277C8" w:rsidP="009277C8">
      <w:r>
        <w:t xml:space="preserve">The most reasonable criteria of choice, at least in the case of unicast and multicast transmission, is the relative speed between transmitter and receiver(s). Relative speed information needs not be precise, rough estimation (e.g. low/medium/large relative speed) is enough. In many cases, Doppler information may be available at the transmitter side (e.g. from the channel estimation process) and how to obtain such information may be left to be an implementation matter. Nevertheless, in some other cases (for example </w:t>
      </w:r>
      <w:r>
        <w:lastRenderedPageBreak/>
        <w:t xml:space="preserve">when traffic is asymmetric), this information may be absent or unreliable. It is beneficial to be able of having some indication on the rough relative speed estimated at the receiver side. This feedback indication, to be sent e.g. by PC5 RRC, may only be sent upon request, or only sent in certain cases (e.g. when the pattern used by the emitter is inconsistent with the Doppler measurements at the receiver side, when subset is composed of more than X patterns, etc). </w:t>
      </w:r>
    </w:p>
    <w:p w14:paraId="7AD190B5" w14:textId="77777777" w:rsidR="009277C8" w:rsidRDefault="009277C8" w:rsidP="009277C8"/>
    <w:p w14:paraId="54A975BA" w14:textId="2E160E47" w:rsidR="009277C8" w:rsidRDefault="009277C8" w:rsidP="009277C8">
      <w:bookmarkStart w:id="27" w:name="_Toc15078016"/>
      <w:bookmarkStart w:id="28" w:name="_Toc16692241"/>
      <w:bookmarkStart w:id="29" w:name="_Toc16692445"/>
      <w:bookmarkStart w:id="30" w:name="_Toc16693053"/>
      <w:bookmarkStart w:id="31" w:name="_Toc20749063"/>
      <w:bookmarkStart w:id="32" w:name="_Toc20839800"/>
      <w:bookmarkStart w:id="33" w:name="_Toc20922573"/>
      <w:bookmarkStart w:id="34" w:name="_Toc20922727"/>
      <w:bookmarkStart w:id="35" w:name="_Toc20922759"/>
      <w:bookmarkStart w:id="36" w:name="_Toc20922791"/>
      <w:bookmarkStart w:id="37" w:name="_Toc20922911"/>
      <w:bookmarkStart w:id="38" w:name="_Toc20936577"/>
      <w:bookmarkStart w:id="39" w:name="_Toc20936664"/>
      <w:bookmarkStart w:id="40" w:name="_Toc20936700"/>
      <w:bookmarkStart w:id="41" w:name="_Toc21102284"/>
      <w:bookmarkStart w:id="42" w:name="_Toc24044340"/>
      <w:bookmarkStart w:id="43" w:name="_Toc24044685"/>
      <w:bookmarkStart w:id="44" w:name="_Toc24047797"/>
      <w:bookmarkStart w:id="45" w:name="_Toc24108900"/>
      <w:bookmarkStart w:id="46" w:name="_Toc24112323"/>
      <w:bookmarkStart w:id="47" w:name="_Toc24112385"/>
      <w:bookmarkStart w:id="48" w:name="_Toc32588799"/>
      <w:bookmarkStart w:id="49" w:name="_Toc32594176"/>
      <w:bookmarkStart w:id="50" w:name="_Toc32595446"/>
      <w:bookmarkStart w:id="51" w:name="_Toc32598948"/>
      <w:bookmarkStart w:id="52" w:name="_Toc32599006"/>
      <w:bookmarkStart w:id="53" w:name="_Toc32599153"/>
      <w:bookmarkStart w:id="54" w:name="_Toc32599178"/>
      <w:bookmarkStart w:id="55" w:name="_Toc32599220"/>
      <w:bookmarkStart w:id="56" w:name="_Toc32599459"/>
      <w:bookmarkStart w:id="57" w:name="_Toc37352661"/>
      <w:bookmarkStart w:id="58" w:name="_Toc37352665"/>
      <w:bookmarkStart w:id="59" w:name="_Toc37352725"/>
      <w:bookmarkStart w:id="60" w:name="_Toc37431538"/>
      <w:bookmarkStart w:id="61" w:name="_Toc40368516"/>
      <w:bookmarkStart w:id="62" w:name="_Toc40368861"/>
      <w:bookmarkStart w:id="63" w:name="_Toc40450196"/>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1D322A">
        <w:rPr>
          <w:b/>
          <w:noProof/>
        </w:rPr>
        <w:t>5</w:t>
      </w:r>
      <w:r w:rsidRPr="002D78A8">
        <w:rPr>
          <w:b/>
          <w:noProof/>
        </w:rPr>
        <w:fldChar w:fldCharType="end"/>
      </w:r>
      <w:r>
        <w:t xml:space="preserve">: </w:t>
      </w:r>
      <w:bookmarkEnd w:id="27"/>
      <w:r w:rsidRPr="000C17B1">
        <w:rPr>
          <w:i/>
        </w:rPr>
        <w:t>Support low-overhead relative speed feedback indication</w:t>
      </w:r>
      <w:r>
        <w:rPr>
          <w:i/>
        </w:rPr>
        <w:t xml:space="preserve"> (e.g. through PC5 RRC).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41631B9" w14:textId="0EA95A26" w:rsidR="009277C8" w:rsidRDefault="009277C8" w:rsidP="009277C8">
      <w:bookmarkStart w:id="64" w:name="_Toc24047798"/>
      <w:bookmarkStart w:id="65" w:name="_Toc24108901"/>
      <w:bookmarkStart w:id="66" w:name="_Toc24112324"/>
      <w:bookmarkStart w:id="67" w:name="_Toc24112386"/>
      <w:bookmarkStart w:id="68" w:name="_Toc32588800"/>
      <w:bookmarkStart w:id="69" w:name="_Toc32594177"/>
      <w:bookmarkStart w:id="70" w:name="_Toc32595447"/>
      <w:bookmarkStart w:id="71" w:name="_Toc32598949"/>
      <w:bookmarkStart w:id="72" w:name="_Toc32599007"/>
      <w:bookmarkStart w:id="73" w:name="_Toc32599154"/>
      <w:bookmarkStart w:id="74" w:name="_Toc32599179"/>
      <w:bookmarkStart w:id="75" w:name="_Toc32599221"/>
      <w:bookmarkStart w:id="76" w:name="_Toc32599460"/>
      <w:bookmarkStart w:id="77" w:name="_Toc37352662"/>
      <w:bookmarkStart w:id="78" w:name="_Toc37352666"/>
      <w:bookmarkStart w:id="79" w:name="_Toc37352726"/>
      <w:bookmarkStart w:id="80" w:name="_Toc37431539"/>
      <w:bookmarkStart w:id="81" w:name="_Toc40368517"/>
      <w:bookmarkStart w:id="82" w:name="_Toc40368862"/>
      <w:bookmarkStart w:id="83" w:name="_Toc40450197"/>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1D322A">
        <w:rPr>
          <w:b/>
          <w:noProof/>
        </w:rPr>
        <w:t>6</w:t>
      </w:r>
      <w:r w:rsidRPr="002D78A8">
        <w:rPr>
          <w:b/>
          <w:noProof/>
        </w:rPr>
        <w:fldChar w:fldCharType="end"/>
      </w:r>
      <w:r>
        <w:t xml:space="preserve">: </w:t>
      </w:r>
      <w:r>
        <w:rPr>
          <w:i/>
        </w:rPr>
        <w:t>Transmitter UE selects the DM-RS pattern from a subset of patterns, based on relative speed information computed at the Tx UE and/or relative speed feedback from Rx UE.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3BE4D369" w14:textId="4CF1A983" w:rsidR="003D2AC6" w:rsidRDefault="003D41B2" w:rsidP="003D2AC6">
      <w:r>
        <w:t>W</w:t>
      </w:r>
      <w:r w:rsidR="003D2AC6" w:rsidRPr="001647C0">
        <w:t xml:space="preserve">e </w:t>
      </w:r>
      <w:r w:rsidR="001D322A">
        <w:t>arrived at the following conclusions and</w:t>
      </w:r>
      <w:r w:rsidR="003D2AC6" w:rsidRPr="001647C0">
        <w:t xml:space="preserve"> </w:t>
      </w:r>
      <w:r w:rsidR="003D2AC6">
        <w:t>proposals</w:t>
      </w:r>
      <w:r w:rsidR="003D2AC6" w:rsidRPr="001647C0">
        <w:t>:</w:t>
      </w:r>
    </w:p>
    <w:p w14:paraId="333B874C" w14:textId="77777777" w:rsidR="001D322A" w:rsidRDefault="001D322A" w:rsidP="001D322A">
      <w:pPr>
        <w:rPr>
          <w:i/>
        </w:rPr>
      </w:pPr>
      <w:r>
        <w:rPr>
          <w:b/>
        </w:rPr>
        <w:t>Conclusion 1</w:t>
      </w:r>
      <w:r>
        <w:t xml:space="preserve">: </w:t>
      </w:r>
      <w:r>
        <w:rPr>
          <w:i/>
        </w:rPr>
        <w:t>PSCCH does not carry PT-RS. No further decision seems necessary.</w:t>
      </w:r>
    </w:p>
    <w:p w14:paraId="11276D7A" w14:textId="77777777" w:rsidR="001D322A" w:rsidRDefault="001D322A" w:rsidP="001D322A">
      <w:pPr>
        <w:rPr>
          <w:i/>
        </w:rPr>
      </w:pPr>
      <w:r>
        <w:rPr>
          <w:b/>
        </w:rPr>
        <w:t>Conclusion 2</w:t>
      </w:r>
      <w:r>
        <w:t xml:space="preserve">: </w:t>
      </w:r>
      <w:r>
        <w:rPr>
          <w:i/>
        </w:rPr>
        <w:t>All PSSCH contents, including 2</w:t>
      </w:r>
      <w:r w:rsidRPr="00B8357C">
        <w:rPr>
          <w:i/>
          <w:vertAlign w:val="superscript"/>
        </w:rPr>
        <w:t>nd</w:t>
      </w:r>
      <w:r>
        <w:rPr>
          <w:i/>
        </w:rPr>
        <w:t xml:space="preserve"> stage SCI, is rate matched around PT-RS. No further decision seems necessary.</w:t>
      </w:r>
    </w:p>
    <w:p w14:paraId="5B4A1EE3" w14:textId="77777777" w:rsidR="001D322A"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1D322A" w:rsidRPr="00AD6B49">
        <w:rPr>
          <w:b/>
          <w:noProof/>
        </w:rPr>
        <w:t>Proposal 1</w:t>
      </w:r>
      <w:r w:rsidR="001D322A">
        <w:rPr>
          <w:noProof/>
        </w:rPr>
        <w:t xml:space="preserve">: </w:t>
      </w:r>
      <w:r w:rsidR="001D322A" w:rsidRPr="00AD6B49">
        <w:rPr>
          <w:i/>
          <w:noProof/>
        </w:rPr>
        <w:t>CSI-RS transmission is dropped if colliding with PSCCH.</w:t>
      </w:r>
    </w:p>
    <w:p w14:paraId="458FC7FA" w14:textId="77777777" w:rsidR="001D322A" w:rsidRDefault="001D322A">
      <w:pPr>
        <w:pStyle w:val="Tabledesillustrations"/>
        <w:rPr>
          <w:rFonts w:asciiTheme="minorHAnsi" w:eastAsiaTheme="minorEastAsia" w:hAnsiTheme="minorHAnsi" w:cstheme="minorBidi"/>
          <w:noProof/>
          <w:sz w:val="22"/>
          <w:szCs w:val="22"/>
          <w:lang w:eastAsia="en-US"/>
        </w:rPr>
      </w:pPr>
      <w:r w:rsidRPr="00AD6B49">
        <w:rPr>
          <w:b/>
          <w:noProof/>
        </w:rPr>
        <w:t>Proposal 2</w:t>
      </w:r>
      <w:r>
        <w:rPr>
          <w:noProof/>
        </w:rPr>
        <w:t xml:space="preserve">: </w:t>
      </w:r>
      <w:r w:rsidRPr="00AD6B49">
        <w:rPr>
          <w:i/>
          <w:noProof/>
        </w:rPr>
        <w:t>CSI-RS transmission is dropped if colliding with 2</w:t>
      </w:r>
      <w:r w:rsidRPr="00AD6B49">
        <w:rPr>
          <w:i/>
          <w:noProof/>
          <w:vertAlign w:val="superscript"/>
        </w:rPr>
        <w:t>nd</w:t>
      </w:r>
      <w:r w:rsidRPr="00AD6B49">
        <w:rPr>
          <w:i/>
          <w:noProof/>
        </w:rPr>
        <w:t xml:space="preserve"> stage SCI.</w:t>
      </w:r>
    </w:p>
    <w:p w14:paraId="37F78FAC" w14:textId="77777777" w:rsidR="001D322A" w:rsidRDefault="001D322A">
      <w:pPr>
        <w:pStyle w:val="Tabledesillustrations"/>
        <w:rPr>
          <w:rFonts w:asciiTheme="minorHAnsi" w:eastAsiaTheme="minorEastAsia" w:hAnsiTheme="minorHAnsi" w:cstheme="minorBidi"/>
          <w:noProof/>
          <w:sz w:val="22"/>
          <w:szCs w:val="22"/>
          <w:lang w:eastAsia="en-US"/>
        </w:rPr>
      </w:pPr>
      <w:r w:rsidRPr="00AD6B49">
        <w:rPr>
          <w:b/>
          <w:noProof/>
        </w:rPr>
        <w:t>Proposal 3</w:t>
      </w:r>
      <w:r>
        <w:rPr>
          <w:noProof/>
        </w:rPr>
        <w:t xml:space="preserve">: </w:t>
      </w:r>
      <w:r w:rsidRPr="00AD6B49">
        <w:rPr>
          <w:i/>
          <w:noProof/>
        </w:rPr>
        <w:t>UE is not expected to transmit/receive CSI-RS on a resource element configured as DM-RS.</w:t>
      </w:r>
    </w:p>
    <w:p w14:paraId="2F4F88C3" w14:textId="77777777" w:rsidR="001D322A" w:rsidRDefault="001D322A">
      <w:pPr>
        <w:pStyle w:val="Tabledesillustrations"/>
        <w:rPr>
          <w:rFonts w:asciiTheme="minorHAnsi" w:eastAsiaTheme="minorEastAsia" w:hAnsiTheme="minorHAnsi" w:cstheme="minorBidi"/>
          <w:noProof/>
          <w:sz w:val="22"/>
          <w:szCs w:val="22"/>
          <w:lang w:eastAsia="en-US"/>
        </w:rPr>
      </w:pPr>
      <w:r w:rsidRPr="00AD6B49">
        <w:rPr>
          <w:b/>
          <w:noProof/>
        </w:rPr>
        <w:t>Proposal 4</w:t>
      </w:r>
      <w:r>
        <w:rPr>
          <w:noProof/>
        </w:rPr>
        <w:t xml:space="preserve">: </w:t>
      </w:r>
      <w:r w:rsidRPr="00AD6B49">
        <w:rPr>
          <w:i/>
          <w:noProof/>
        </w:rPr>
        <w:t>Support a pattern with 6 DM-RS with limited use (SCS, MCS restriction).</w:t>
      </w:r>
    </w:p>
    <w:p w14:paraId="193E5B10" w14:textId="77777777" w:rsidR="001D322A" w:rsidRDefault="001D322A">
      <w:pPr>
        <w:pStyle w:val="Tabledesillustrations"/>
        <w:rPr>
          <w:rFonts w:asciiTheme="minorHAnsi" w:eastAsiaTheme="minorEastAsia" w:hAnsiTheme="minorHAnsi" w:cstheme="minorBidi"/>
          <w:noProof/>
          <w:sz w:val="22"/>
          <w:szCs w:val="22"/>
          <w:lang w:eastAsia="en-US"/>
        </w:rPr>
      </w:pPr>
      <w:r w:rsidRPr="00AD6B49">
        <w:rPr>
          <w:b/>
          <w:noProof/>
        </w:rPr>
        <w:t>Proposal 5</w:t>
      </w:r>
      <w:r>
        <w:rPr>
          <w:noProof/>
        </w:rPr>
        <w:t xml:space="preserve">: </w:t>
      </w:r>
      <w:r w:rsidRPr="00AD6B49">
        <w:rPr>
          <w:i/>
          <w:noProof/>
        </w:rPr>
        <w:t>Support low-overhead relative speed feedback indication (e.g. through PC5 RRC).</w:t>
      </w:r>
    </w:p>
    <w:p w14:paraId="08382D76" w14:textId="77777777" w:rsidR="001D322A" w:rsidRDefault="001D322A">
      <w:pPr>
        <w:pStyle w:val="Tabledesillustrations"/>
        <w:rPr>
          <w:rFonts w:asciiTheme="minorHAnsi" w:eastAsiaTheme="minorEastAsia" w:hAnsiTheme="minorHAnsi" w:cstheme="minorBidi"/>
          <w:noProof/>
          <w:sz w:val="22"/>
          <w:szCs w:val="22"/>
          <w:lang w:eastAsia="en-US"/>
        </w:rPr>
      </w:pPr>
      <w:r w:rsidRPr="00AD6B49">
        <w:rPr>
          <w:b/>
          <w:noProof/>
        </w:rPr>
        <w:t>Proposal 6</w:t>
      </w:r>
      <w:r>
        <w:rPr>
          <w:noProof/>
        </w:rPr>
        <w:t xml:space="preserve">: </w:t>
      </w:r>
      <w:r w:rsidRPr="00AD6B49">
        <w:rPr>
          <w:i/>
          <w:noProof/>
        </w:rPr>
        <w:t>Transmitter UE selects the DM-RS pattern from a subset of patterns, based on relative speed information computed at the Tx UE and/or relative speed feedback from Rx UE.</w:t>
      </w:r>
    </w:p>
    <w:p w14:paraId="651B7708" w14:textId="26AD23FB" w:rsidR="001647C0" w:rsidRDefault="0085477D" w:rsidP="00B93CCF">
      <w:pPr>
        <w:rPr>
          <w:highlight w:val="yellow"/>
        </w:rPr>
      </w:pPr>
      <w:r>
        <w:rPr>
          <w:highlight w:val="yellow"/>
        </w:rPr>
        <w:fldChar w:fldCharType="end"/>
      </w:r>
      <w:r w:rsidR="001647C0">
        <w:rPr>
          <w:highlight w:val="yellow"/>
        </w:rPr>
        <w:br w:type="page"/>
      </w:r>
      <w:bookmarkStart w:id="84" w:name="_GoBack"/>
      <w:bookmarkEnd w:id="84"/>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194EE226" w:rsidR="002067A2" w:rsidRDefault="0057684C" w:rsidP="0057684C">
      <w:pPr>
        <w:pStyle w:val="Titre3"/>
        <w:numPr>
          <w:ilvl w:val="0"/>
          <w:numId w:val="6"/>
        </w:numPr>
      </w:pPr>
      <w:bookmarkStart w:id="85" w:name="_Ref520481203"/>
      <w:bookmarkStart w:id="86" w:name="_Ref4747864"/>
      <w:bookmarkStart w:id="87" w:name="_Ref503468864"/>
      <w:bookmarkStart w:id="88" w:name="_Ref468983446"/>
      <w:bookmarkStart w:id="89" w:name="_Ref468982085"/>
      <w:bookmarkStart w:id="90" w:name="_Ref461457447"/>
      <w:bookmarkStart w:id="91" w:name="_Ref457744160"/>
      <w:r w:rsidRPr="0057684C">
        <w:t>RP-190766</w:t>
      </w:r>
      <w:r>
        <w:t xml:space="preserve"> </w:t>
      </w:r>
      <w:r w:rsidRPr="0057684C">
        <w:t>New WID on 5G V2X with NR sidelink</w:t>
      </w:r>
      <w:r w:rsidR="002067A2" w:rsidRPr="0057684C">
        <w:t>.</w:t>
      </w:r>
      <w:bookmarkEnd w:id="85"/>
      <w:r>
        <w:t>, RAN#83, March 2019.</w:t>
      </w:r>
      <w:bookmarkEnd w:id="86"/>
    </w:p>
    <w:p w14:paraId="0CED27DD" w14:textId="77777777" w:rsidR="00532693" w:rsidRDefault="00532693" w:rsidP="002067A2">
      <w:pPr>
        <w:pStyle w:val="Titre3"/>
        <w:numPr>
          <w:ilvl w:val="0"/>
          <w:numId w:val="6"/>
        </w:numPr>
      </w:pPr>
      <w:bookmarkStart w:id="92" w:name="_Ref32510225"/>
      <w:bookmarkStart w:id="93" w:name="_Ref20748185"/>
      <w:bookmarkStart w:id="94" w:name="_Ref24044160"/>
      <w:bookmarkStart w:id="95" w:name="_Ref15059084"/>
      <w:bookmarkStart w:id="96" w:name="_Ref951136"/>
      <w:bookmarkStart w:id="97" w:name="_Ref4748306"/>
      <w:bookmarkStart w:id="98" w:name="_Ref510646059"/>
      <w:bookmarkStart w:id="99" w:name="_Ref525578521"/>
      <w:bookmarkStart w:id="100" w:name="_Ref528072505"/>
      <w:bookmarkStart w:id="101" w:name="_Ref503286449"/>
      <w:bookmarkEnd w:id="87"/>
      <w:r>
        <w:t>RAN1#99</w:t>
      </w:r>
      <w:r w:rsidR="00094520">
        <w:t xml:space="preserve"> Chairman’s notes, </w:t>
      </w:r>
      <w:r>
        <w:t>November</w:t>
      </w:r>
      <w:r w:rsidR="00094520">
        <w:t xml:space="preserve"> 2019</w:t>
      </w:r>
      <w:r>
        <w:t>.</w:t>
      </w:r>
      <w:bookmarkEnd w:id="92"/>
    </w:p>
    <w:p w14:paraId="66CEB8B7" w14:textId="77777777" w:rsidR="00601E21" w:rsidRDefault="00532693" w:rsidP="00532693">
      <w:pPr>
        <w:pStyle w:val="Titre3"/>
        <w:numPr>
          <w:ilvl w:val="0"/>
          <w:numId w:val="6"/>
        </w:numPr>
      </w:pPr>
      <w:bookmarkStart w:id="102" w:name="_Ref40289632"/>
      <w:bookmarkStart w:id="103" w:name="_Ref32510393"/>
      <w:r w:rsidRPr="00532693">
        <w:t>RP-193198</w:t>
      </w:r>
      <w:r>
        <w:t xml:space="preserve">, </w:t>
      </w:r>
      <w:r w:rsidRPr="00532693">
        <w:t>Task list for 5G V2X in RAN1#100</w:t>
      </w:r>
      <w:r>
        <w:t>, LGE, RAN#86, December 2019</w:t>
      </w:r>
      <w:r w:rsidR="00601E21">
        <w:t>.</w:t>
      </w:r>
      <w:bookmarkEnd w:id="102"/>
    </w:p>
    <w:p w14:paraId="0E1D5A07" w14:textId="5E5601C6" w:rsidR="00532693" w:rsidRDefault="00601E21" w:rsidP="00601E21">
      <w:pPr>
        <w:pStyle w:val="Titre3"/>
        <w:numPr>
          <w:ilvl w:val="0"/>
          <w:numId w:val="6"/>
        </w:numPr>
      </w:pPr>
      <w:bookmarkStart w:id="104" w:name="_Ref40289613"/>
      <w:r w:rsidRPr="00601E21">
        <w:t>R1-200212</w:t>
      </w:r>
      <w:r>
        <w:t xml:space="preserve">4, </w:t>
      </w:r>
      <w:r w:rsidRPr="00601E21">
        <w:t>Feature lead summary#2 for agenda item 7.2.4.1 Physic</w:t>
      </w:r>
      <w:r>
        <w:t xml:space="preserve">al layer structure for sidelink, </w:t>
      </w:r>
      <w:r w:rsidRPr="00601E21">
        <w:t>Moderator (Samsung)</w:t>
      </w:r>
      <w:r w:rsidR="00532693">
        <w:t>.</w:t>
      </w:r>
      <w:bookmarkEnd w:id="103"/>
      <w:bookmarkEnd w:id="104"/>
    </w:p>
    <w:p w14:paraId="1EA503CF" w14:textId="6B3CF4B3" w:rsidR="00094520" w:rsidRDefault="00094520" w:rsidP="00094520">
      <w:pPr>
        <w:pStyle w:val="Titre3"/>
        <w:numPr>
          <w:ilvl w:val="0"/>
          <w:numId w:val="6"/>
        </w:numPr>
      </w:pPr>
      <w:bookmarkStart w:id="105" w:name="_Ref24046530"/>
      <w:bookmarkStart w:id="106" w:name="_Ref7734624"/>
      <w:bookmarkEnd w:id="93"/>
      <w:bookmarkEnd w:id="94"/>
      <w:bookmarkEnd w:id="95"/>
      <w:r w:rsidRPr="00094520">
        <w:t xml:space="preserve">R1-1910179 </w:t>
      </w:r>
      <w:r w:rsidRPr="00BA090D">
        <w:t>Physical layer design for NR V2X sidelink</w:t>
      </w:r>
      <w:r>
        <w:t xml:space="preserve">, </w:t>
      </w:r>
      <w:r>
        <w:rPr>
          <w:lang w:eastAsia="ko-KR"/>
        </w:rPr>
        <w:t>Mitsubishi Electric, RAN1#98b, Chongqing, China, October 2019.</w:t>
      </w:r>
      <w:bookmarkEnd w:id="105"/>
    </w:p>
    <w:p w14:paraId="30925CF4" w14:textId="36EC3473" w:rsidR="00D06A13" w:rsidRDefault="00D06A13" w:rsidP="00D06A13">
      <w:pPr>
        <w:pStyle w:val="Titre3"/>
        <w:numPr>
          <w:ilvl w:val="0"/>
          <w:numId w:val="6"/>
        </w:numPr>
      </w:pPr>
      <w:r>
        <w:t>R1-</w:t>
      </w:r>
      <w:r w:rsidRPr="00D06A13">
        <w:t xml:space="preserve">1908675 </w:t>
      </w:r>
      <w:r w:rsidRPr="00BA090D">
        <w:t>Physical layer design for NR V2X sidelink</w:t>
      </w:r>
      <w:r>
        <w:t xml:space="preserve">, </w:t>
      </w:r>
      <w:r>
        <w:rPr>
          <w:lang w:eastAsia="ko-KR"/>
        </w:rPr>
        <w:t>Mitsubishi Electric, RAN1#98, Prague, Czech Republic, August 2019.</w:t>
      </w:r>
    </w:p>
    <w:p w14:paraId="72831003" w14:textId="2D18EEEA" w:rsidR="00BA090D" w:rsidRDefault="00BA090D" w:rsidP="00BA090D">
      <w:pPr>
        <w:pStyle w:val="Titre3"/>
        <w:numPr>
          <w:ilvl w:val="0"/>
          <w:numId w:val="6"/>
        </w:numPr>
      </w:pPr>
      <w:r>
        <w:t xml:space="preserve">R1-1907024, </w:t>
      </w:r>
      <w:r w:rsidRPr="00BA090D">
        <w:t>Physical layer design for NR V2X sidelink</w:t>
      </w:r>
      <w:r>
        <w:t xml:space="preserve">, </w:t>
      </w:r>
      <w:r>
        <w:rPr>
          <w:lang w:eastAsia="ko-KR"/>
        </w:rPr>
        <w:t>Mitsubishi Electric, RAN1#97, Reno, Nevada, May 2019.</w:t>
      </w:r>
    </w:p>
    <w:p w14:paraId="51EF5F25" w14:textId="648C3967" w:rsidR="007C1780" w:rsidRDefault="00AF365A" w:rsidP="002067A2">
      <w:pPr>
        <w:pStyle w:val="Titre3"/>
        <w:numPr>
          <w:ilvl w:val="0"/>
          <w:numId w:val="6"/>
        </w:numPr>
      </w:pPr>
      <w:bookmarkStart w:id="107" w:name="_Ref20923038"/>
      <w:r w:rsidRPr="00AF365A">
        <w:rPr>
          <w:lang w:eastAsia="ko-KR"/>
        </w:rPr>
        <w:t>R1-1905123</w:t>
      </w:r>
      <w:r>
        <w:rPr>
          <w:lang w:eastAsia="ko-KR"/>
        </w:rPr>
        <w:t>, Views on physical layer design for NR V2X sidelink, Mitsubishi Electric, RAN1#96b, Xi’an, China, April 2019</w:t>
      </w:r>
      <w:r w:rsidR="007C1780">
        <w:rPr>
          <w:lang w:eastAsia="ko-KR"/>
        </w:rPr>
        <w:t>.</w:t>
      </w:r>
      <w:bookmarkEnd w:id="96"/>
      <w:bookmarkEnd w:id="97"/>
      <w:bookmarkEnd w:id="106"/>
      <w:bookmarkEnd w:id="107"/>
    </w:p>
    <w:p w14:paraId="58FBA68B" w14:textId="2A237D72" w:rsidR="00B32DC2" w:rsidRDefault="00B32DC2" w:rsidP="00B32DC2">
      <w:pPr>
        <w:pStyle w:val="Titre3"/>
        <w:numPr>
          <w:ilvl w:val="0"/>
          <w:numId w:val="6"/>
        </w:numPr>
      </w:pPr>
      <w:bookmarkStart w:id="108" w:name="_Ref4769822"/>
      <w:bookmarkStart w:id="109" w:name="_Ref535012769"/>
      <w:bookmarkStart w:id="110" w:name="_Ref534810414"/>
      <w:r w:rsidRPr="00CD2F84">
        <w:t>R1-1901830</w:t>
      </w:r>
      <w:r>
        <w:t xml:space="preserve">, </w:t>
      </w:r>
      <w:r w:rsidRPr="00CD2F84">
        <w:t>Views on physical layer design for NR V2X sidelink</w:t>
      </w:r>
      <w:r>
        <w:t>, Mitsubishi Electric, RAN1#96, February 2019</w:t>
      </w:r>
      <w:bookmarkEnd w:id="108"/>
    </w:p>
    <w:p w14:paraId="7C7A2F47" w14:textId="33F1FA9E" w:rsidR="003D4BB3" w:rsidRDefault="003D4BB3" w:rsidP="003D4BB3">
      <w:pPr>
        <w:pStyle w:val="Titre3"/>
        <w:numPr>
          <w:ilvl w:val="0"/>
          <w:numId w:val="6"/>
        </w:numPr>
      </w:pPr>
      <w:bookmarkStart w:id="111" w:name="_Ref4769825"/>
      <w:r w:rsidRPr="0003171D">
        <w:t>R1-1901144</w:t>
      </w:r>
      <w:r>
        <w:t xml:space="preserve">, </w:t>
      </w:r>
      <w:r w:rsidRPr="0003171D">
        <w:t>Physical layer design for NR V2X sidelink</w:t>
      </w:r>
      <w:r>
        <w:t>, Mitsubishi Electric, RAN1 NRAH#1901, January 2019.</w:t>
      </w:r>
      <w:bookmarkEnd w:id="109"/>
      <w:bookmarkEnd w:id="111"/>
    </w:p>
    <w:p w14:paraId="48765048" w14:textId="322AB59F" w:rsidR="00951D3B" w:rsidRPr="00951D3B" w:rsidRDefault="00951D3B" w:rsidP="00CD2F84">
      <w:pPr>
        <w:pStyle w:val="Titre3"/>
        <w:numPr>
          <w:ilvl w:val="0"/>
          <w:numId w:val="6"/>
        </w:numPr>
      </w:pPr>
      <w:bookmarkStart w:id="112" w:name="_Ref7805992"/>
      <w:bookmarkEnd w:id="88"/>
      <w:bookmarkEnd w:id="89"/>
      <w:bookmarkEnd w:id="90"/>
      <w:bookmarkEnd w:id="91"/>
      <w:bookmarkEnd w:id="98"/>
      <w:bookmarkEnd w:id="99"/>
      <w:bookmarkEnd w:id="100"/>
      <w:bookmarkEnd w:id="101"/>
      <w:bookmarkEnd w:id="110"/>
      <w:r w:rsidRPr="00951D3B">
        <w:rPr>
          <w:bCs/>
          <w:lang w:val="en-GB"/>
        </w:rPr>
        <w:t>R1-1702915</w:t>
      </w:r>
      <w:r>
        <w:rPr>
          <w:bCs/>
          <w:lang w:val="en-GB"/>
        </w:rPr>
        <w:t xml:space="preserve">, </w:t>
      </w:r>
      <w:r w:rsidRPr="00951D3B">
        <w:rPr>
          <w:bCs/>
        </w:rPr>
        <w:t>Codeword-to-layer mapping for DL and UL NR MIMO</w:t>
      </w:r>
      <w:r>
        <w:rPr>
          <w:bCs/>
        </w:rPr>
        <w:t>, Samsung, RAN1#88, Feb</w:t>
      </w:r>
      <w:r w:rsidR="00812909">
        <w:rPr>
          <w:bCs/>
        </w:rPr>
        <w:t>.</w:t>
      </w:r>
      <w:r>
        <w:rPr>
          <w:bCs/>
        </w:rPr>
        <w:t xml:space="preserve"> 2017.</w:t>
      </w:r>
      <w:bookmarkEnd w:id="112"/>
    </w:p>
    <w:p w14:paraId="6777F864" w14:textId="5B06ACE4" w:rsidR="002201CB" w:rsidRDefault="00951D3B" w:rsidP="00CD2F84">
      <w:pPr>
        <w:pStyle w:val="Titre3"/>
        <w:numPr>
          <w:ilvl w:val="0"/>
          <w:numId w:val="6"/>
        </w:numPr>
      </w:pPr>
      <w:bookmarkStart w:id="113" w:name="_Ref7806005"/>
      <w:r w:rsidRPr="00951D3B">
        <w:t>R1-1703341</w:t>
      </w:r>
      <w:r>
        <w:t xml:space="preserve">, </w:t>
      </w:r>
      <w:r w:rsidRPr="00951D3B">
        <w:t>Number of codewords for physical data channel</w:t>
      </w:r>
      <w:r>
        <w:t xml:space="preserve">, Huawei, </w:t>
      </w:r>
      <w:r>
        <w:rPr>
          <w:bCs/>
        </w:rPr>
        <w:t>RAN1#88, Feb</w:t>
      </w:r>
      <w:r w:rsidR="00812909">
        <w:rPr>
          <w:bCs/>
        </w:rPr>
        <w:t>.</w:t>
      </w:r>
      <w:r>
        <w:rPr>
          <w:bCs/>
        </w:rPr>
        <w:t xml:space="preserve"> 2017</w:t>
      </w:r>
      <w:r w:rsidR="00CD2F84">
        <w:t>.</w:t>
      </w:r>
      <w:bookmarkEnd w:id="113"/>
    </w:p>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EE13D" w14:textId="77777777" w:rsidR="00B858F8" w:rsidRDefault="00B858F8" w:rsidP="00A81622">
      <w:r>
        <w:separator/>
      </w:r>
    </w:p>
  </w:endnote>
  <w:endnote w:type="continuationSeparator" w:id="0">
    <w:p w14:paraId="4B11B425" w14:textId="77777777" w:rsidR="00B858F8" w:rsidRDefault="00B858F8" w:rsidP="00A81622">
      <w:r>
        <w:continuationSeparator/>
      </w:r>
    </w:p>
  </w:endnote>
  <w:endnote w:type="continuationNotice" w:id="1">
    <w:p w14:paraId="791331E5" w14:textId="77777777" w:rsidR="00B858F8" w:rsidRDefault="00B858F8"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STIXGeneral"/>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STIXGeneral"/>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24DF4" w14:textId="77777777" w:rsidR="00B858F8" w:rsidRDefault="00B858F8" w:rsidP="00A81622">
      <w:r>
        <w:separator/>
      </w:r>
    </w:p>
  </w:footnote>
  <w:footnote w:type="continuationSeparator" w:id="0">
    <w:p w14:paraId="1445537B" w14:textId="77777777" w:rsidR="00B858F8" w:rsidRDefault="00B858F8" w:rsidP="00A81622">
      <w:r>
        <w:continuationSeparator/>
      </w:r>
    </w:p>
  </w:footnote>
  <w:footnote w:type="continuationNotice" w:id="1">
    <w:p w14:paraId="1BE6C744" w14:textId="77777777" w:rsidR="00B858F8" w:rsidRDefault="00B858F8"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7"/>
  </w:num>
  <w:num w:numId="3">
    <w:abstractNumId w:val="30"/>
  </w:num>
  <w:num w:numId="4">
    <w:abstractNumId w:val="19"/>
  </w:num>
  <w:num w:numId="5">
    <w:abstractNumId w:val="35"/>
  </w:num>
  <w:num w:numId="6">
    <w:abstractNumId w:val="16"/>
  </w:num>
  <w:num w:numId="7">
    <w:abstractNumId w:val="2"/>
  </w:num>
  <w:num w:numId="8">
    <w:abstractNumId w:val="32"/>
  </w:num>
  <w:num w:numId="9">
    <w:abstractNumId w:val="24"/>
  </w:num>
  <w:num w:numId="10">
    <w:abstractNumId w:val="11"/>
  </w:num>
  <w:num w:numId="11">
    <w:abstractNumId w:val="21"/>
  </w:num>
  <w:num w:numId="12">
    <w:abstractNumId w:val="3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6"/>
  </w:num>
  <w:num w:numId="15">
    <w:abstractNumId w:val="14"/>
  </w:num>
  <w:num w:numId="16">
    <w:abstractNumId w:val="36"/>
  </w:num>
  <w:num w:numId="17">
    <w:abstractNumId w:val="6"/>
  </w:num>
  <w:num w:numId="18">
    <w:abstractNumId w:val="22"/>
  </w:num>
  <w:num w:numId="19">
    <w:abstractNumId w:val="12"/>
  </w:num>
  <w:num w:numId="20">
    <w:abstractNumId w:val="25"/>
  </w:num>
  <w:num w:numId="21">
    <w:abstractNumId w:val="8"/>
  </w:num>
  <w:num w:numId="22">
    <w:abstractNumId w:val="9"/>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8"/>
  </w:num>
  <w:num w:numId="25">
    <w:abstractNumId w:val="10"/>
  </w:num>
  <w:num w:numId="26">
    <w:abstractNumId w:val="5"/>
  </w:num>
  <w:num w:numId="27">
    <w:abstractNumId w:val="23"/>
  </w:num>
  <w:num w:numId="28">
    <w:abstractNumId w:val="17"/>
  </w:num>
  <w:num w:numId="29">
    <w:abstractNumId w:val="34"/>
  </w:num>
  <w:num w:numId="30">
    <w:abstractNumId w:val="18"/>
  </w:num>
  <w:num w:numId="31">
    <w:abstractNumId w:val="15"/>
  </w:num>
  <w:num w:numId="32">
    <w:abstractNumId w:val="7"/>
  </w:num>
  <w:num w:numId="33">
    <w:abstractNumId w:val="29"/>
  </w:num>
  <w:num w:numId="34">
    <w:abstractNumId w:val="4"/>
  </w:num>
  <w:num w:numId="35">
    <w:abstractNumId w:val="33"/>
  </w:num>
  <w:num w:numId="36">
    <w:abstractNumId w:val="13"/>
  </w:num>
  <w:num w:numId="3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3A6"/>
    <w:rsid w:val="00363957"/>
    <w:rsid w:val="00363E13"/>
    <w:rsid w:val="00365125"/>
    <w:rsid w:val="00366DA9"/>
    <w:rsid w:val="00366E82"/>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1E21"/>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2E59"/>
    <w:rsid w:val="009C342A"/>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32AB"/>
    <w:rsid w:val="00BE39F6"/>
    <w:rsid w:val="00BE4409"/>
    <w:rsid w:val="00BE4849"/>
    <w:rsid w:val="00BE585F"/>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11BB"/>
    <w:rsid w:val="00CD2786"/>
    <w:rsid w:val="00CD2B07"/>
    <w:rsid w:val="00CD2F84"/>
    <w:rsid w:val="00CD313C"/>
    <w:rsid w:val="00CD36E5"/>
    <w:rsid w:val="00CD3A25"/>
    <w:rsid w:val="00CD3F85"/>
    <w:rsid w:val="00CD4955"/>
    <w:rsid w:val="00CD4986"/>
    <w:rsid w:val="00CD4EF2"/>
    <w:rsid w:val="00CD56BE"/>
    <w:rsid w:val="00CD57F6"/>
    <w:rsid w:val="00CD76B4"/>
    <w:rsid w:val="00CD7ED2"/>
    <w:rsid w:val="00CE0943"/>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F35115-D50F-40A3-8625-2627DB9C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5</Pages>
  <Words>1534</Words>
  <Characters>8750</Characters>
  <Application>Microsoft Office Word</Application>
  <DocSecurity>0</DocSecurity>
  <Lines>72</Lines>
  <Paragraphs>20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13</cp:revision>
  <cp:lastPrinted>2016-08-10T06:06:00Z</cp:lastPrinted>
  <dcterms:created xsi:type="dcterms:W3CDTF">2020-05-13T16:25:00Z</dcterms:created>
  <dcterms:modified xsi:type="dcterms:W3CDTF">2020-05-15T15:10:00Z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